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color w:val="1A1A18"/>
          <w:sz w:val="30"/>
        </w:rPr>
        <w:t>PRODUCT TECHNICAL DATA SHEET</w:t>
      </w:r>
    </w:p>
    <w:p>
      <w:pPr>
        <w:spacing w:after="200"/>
      </w:pPr>
      <w:r>
        <w:rPr>
          <w:i/>
          <w:color w:val="6B6B66"/>
          <w:sz w:val="18"/>
        </w:rPr>
        <w:t>Template to fill in. One page, one version, one date.</w:t>
      </w:r>
    </w:p>
    <w:tbl>
      <w:tblPr>
        <w:tblStyle w:val="TableGrid"/>
        <w:tblW w:type="auto" w:w="0"/>
        <w:jc w:val="left"/>
        <w:tblLook w:firstColumn="1" w:firstRow="1" w:lastColumn="0" w:lastRow="0" w:noHBand="0" w:noVBand="1" w:val="04A0"/>
      </w:tblPr>
      <w:tblGrid>
        <w:gridCol w:w="3324"/>
        <w:gridCol w:w="3324"/>
        <w:gridCol w:w="3324"/>
      </w:tblGrid>
      <w:tr>
        <w:tc>
          <w:tcPr>
            <w:tcW w:type="dxa" w:w="3324"/>
          </w:tcPr>
          <w:p>
            <w:r/>
            <w:r>
              <w:rPr>
                <w:b/>
                <w:color w:val="6B6B66"/>
                <w:sz w:val="16"/>
              </w:rPr>
              <w:t>Last updated</w:t>
              <w:br/>
            </w:r>
            <w:r>
              <w:t xml:space="preserve"> </w:t>
            </w:r>
          </w:p>
        </w:tc>
        <w:tc>
          <w:tcPr>
            <w:tcW w:type="dxa" w:w="3324"/>
          </w:tcPr>
          <w:p>
            <w:r/>
            <w:r>
              <w:rPr>
                <w:b/>
                <w:color w:val="6B6B66"/>
                <w:sz w:val="16"/>
              </w:rPr>
              <w:t>Version</w:t>
              <w:br/>
            </w:r>
            <w:r>
              <w:t xml:space="preserve"> </w:t>
            </w:r>
          </w:p>
        </w:tc>
        <w:tc>
          <w:tcPr>
            <w:tcW w:type="dxa" w:w="3324"/>
          </w:tcPr>
          <w:p>
            <w:r/>
            <w:r>
              <w:rPr>
                <w:b/>
                <w:color w:val="6B6B66"/>
                <w:sz w:val="16"/>
              </w:rPr>
              <w:t>Document owner</w:t>
              <w:br/>
            </w:r>
            <w:r>
              <w:t xml:space="preserve"> </w:t>
            </w:r>
          </w:p>
        </w:tc>
      </w:tr>
    </w:tbl>
    <w:p>
      <w:pPr>
        <w:spacing w:after="80"/>
      </w:pPr>
    </w:p>
    <w:p>
      <w:pPr>
        <w:spacing w:before="280" w:after="60"/>
      </w:pPr>
      <w:r>
        <w:rPr>
          <w:b/>
          <w:color w:val="1A1A18"/>
          <w:sz w:val="20"/>
        </w:rPr>
        <w:t>1. PRODUCT</w:t>
      </w:r>
    </w:p>
    <w:tbl>
      <w:tblPr>
        <w:tblStyle w:val="TableGrid"/>
        <w:tblW w:type="auto" w:w="0"/>
        <w:tblLook w:firstColumn="1" w:firstRow="1" w:lastColumn="0" w:lastRow="0" w:noHBand="0" w:noVBand="1" w:val="04A0"/>
      </w:tblPr>
      <w:tblGrid>
        <w:gridCol w:w="3742"/>
        <w:gridCol w:w="5896"/>
      </w:tblGrid>
      <w:tr>
        <w:tc>
          <w:tcPr>
            <w:tcW w:type="dxa" w:w="3742"/>
            <w:shd w:val="clear" w:fill="F5F1EA"/>
          </w:tcPr>
          <w:p>
            <w:r/>
            <w:r>
              <w:rPr>
                <w:b/>
                <w:sz w:val="18"/>
              </w:rPr>
              <w:t>Legal name</w:t>
            </w:r>
          </w:p>
        </w:tc>
        <w:tc>
          <w:tcPr>
            <w:tcW w:type="dxa" w:w="5896"/>
          </w:tcPr>
          <w:p>
            <w:r/>
            <w:r>
              <w:rPr>
                <w:i/>
                <w:color w:val="6B6B66"/>
                <w:sz w:val="15"/>
              </w:rPr>
              <w:t>the legal name, not the trade name</w:t>
            </w:r>
          </w:p>
        </w:tc>
      </w:tr>
      <w:tr>
        <w:tc>
          <w:tcPr>
            <w:tcW w:type="dxa" w:w="3742"/>
            <w:shd w:val="clear" w:fill="F5F1EA"/>
          </w:tcPr>
          <w:p>
            <w:r/>
            <w:r>
              <w:rPr>
                <w:b/>
                <w:sz w:val="18"/>
              </w:rPr>
              <w:t>Brand / line</w:t>
            </w:r>
          </w:p>
        </w:tc>
        <w:tc>
          <w:tcPr>
            <w:tcW w:type="dxa" w:w="5896"/>
          </w:tcPr>
          <w:p>
            <w:r>
              <w:t xml:space="preserve"> </w:t>
            </w:r>
          </w:p>
        </w:tc>
      </w:tr>
      <w:tr>
        <w:tc>
          <w:tcPr>
            <w:tcW w:type="dxa" w:w="3742"/>
            <w:shd w:val="clear" w:fill="F5F1EA"/>
          </w:tcPr>
          <w:p>
            <w:r/>
            <w:r>
              <w:rPr>
                <w:b/>
                <w:sz w:val="18"/>
              </w:rPr>
              <w:t>Country of origin</w:t>
            </w:r>
          </w:p>
        </w:tc>
        <w:tc>
          <w:tcPr>
            <w:tcW w:type="dxa" w:w="5896"/>
          </w:tcPr>
          <w:p>
            <w:r/>
            <w:r>
              <w:rPr>
                <w:i/>
                <w:color w:val="6B6B66"/>
                <w:sz w:val="15"/>
              </w:rPr>
              <w:t>Italy</w:t>
            </w:r>
          </w:p>
        </w:tc>
      </w:tr>
      <w:tr>
        <w:tc>
          <w:tcPr>
            <w:tcW w:type="dxa" w:w="3742"/>
            <w:shd w:val="clear" w:fill="F5F1EA"/>
          </w:tcPr>
          <w:p>
            <w:r/>
            <w:r>
              <w:rPr>
                <w:b/>
                <w:sz w:val="18"/>
              </w:rPr>
              <w:t>HS code</w:t>
            </w:r>
          </w:p>
        </w:tc>
        <w:tc>
          <w:tcPr>
            <w:tcW w:type="dxa" w:w="5896"/>
          </w:tcPr>
          <w:p>
            <w:r/>
            <w:r>
              <w:rPr>
                <w:i/>
                <w:color w:val="6B6B66"/>
                <w:sz w:val="15"/>
              </w:rPr>
              <w:t>first six digits are international</w:t>
            </w:r>
          </w:p>
        </w:tc>
      </w:tr>
      <w:tr>
        <w:tc>
          <w:tcPr>
            <w:tcW w:type="dxa" w:w="3742"/>
            <w:shd w:val="clear" w:fill="F5F1EA"/>
          </w:tcPr>
          <w:p>
            <w:r/>
            <w:r>
              <w:rPr>
                <w:b/>
                <w:sz w:val="18"/>
              </w:rPr>
              <w:t>Net weight / volume</w:t>
            </w:r>
          </w:p>
        </w:tc>
        <w:tc>
          <w:tcPr>
            <w:tcW w:type="dxa" w:w="5896"/>
          </w:tcPr>
          <w:p>
            <w:r>
              <w:t xml:space="preserve"> </w:t>
            </w:r>
          </w:p>
        </w:tc>
      </w:tr>
      <w:tr>
        <w:tc>
          <w:tcPr>
            <w:tcW w:type="dxa" w:w="3742"/>
            <w:shd w:val="clear" w:fill="F5F1EA"/>
          </w:tcPr>
          <w:p>
            <w:r/>
            <w:r>
              <w:rPr>
                <w:b/>
                <w:sz w:val="18"/>
              </w:rPr>
              <w:t>Packaging type</w:t>
            </w:r>
          </w:p>
        </w:tc>
        <w:tc>
          <w:tcPr>
            <w:tcW w:type="dxa" w:w="5896"/>
          </w:tcPr>
          <w:p>
            <w:r>
              <w:t xml:space="preserve"> </w:t>
            </w:r>
          </w:p>
        </w:tc>
      </w:tr>
      <w:tr>
        <w:tc>
          <w:tcPr>
            <w:tcW w:type="dxa" w:w="3742"/>
            <w:shd w:val="clear" w:fill="F5F1EA"/>
          </w:tcPr>
          <w:p>
            <w:r/>
            <w:r>
              <w:rPr>
                <w:b/>
                <w:sz w:val="18"/>
              </w:rPr>
              <w:t>Units per case</w:t>
            </w:r>
          </w:p>
        </w:tc>
        <w:tc>
          <w:tcPr>
            <w:tcW w:type="dxa" w:w="5896"/>
          </w:tcPr>
          <w:p>
            <w:r>
              <w:t xml:space="preserve"> </w:t>
            </w:r>
          </w:p>
        </w:tc>
      </w:tr>
      <w:tr>
        <w:tc>
          <w:tcPr>
            <w:tcW w:type="dxa" w:w="3742"/>
            <w:shd w:val="clear" w:fill="F5F1EA"/>
          </w:tcPr>
          <w:p>
            <w:r/>
            <w:r>
              <w:rPr>
                <w:b/>
                <w:sz w:val="18"/>
              </w:rPr>
              <w:t>GTIN (unit)</w:t>
            </w:r>
          </w:p>
        </w:tc>
        <w:tc>
          <w:tcPr>
            <w:tcW w:type="dxa" w:w="5896"/>
          </w:tcPr>
          <w:p>
            <w:r>
              <w:t xml:space="preserve"> </w:t>
            </w:r>
          </w:p>
        </w:tc>
      </w:tr>
      <w:tr>
        <w:tc>
          <w:tcPr>
            <w:tcW w:type="dxa" w:w="3742"/>
            <w:shd w:val="clear" w:fill="F5F1EA"/>
          </w:tcPr>
          <w:p>
            <w:r/>
            <w:r>
              <w:rPr>
                <w:b/>
                <w:sz w:val="18"/>
              </w:rPr>
              <w:t>GTIN (case)</w:t>
            </w:r>
          </w:p>
        </w:tc>
        <w:tc>
          <w:tcPr>
            <w:tcW w:type="dxa" w:w="5896"/>
          </w:tcPr>
          <w:p>
            <w:r>
              <w:t xml:space="preserve"> </w:t>
            </w:r>
          </w:p>
        </w:tc>
      </w:tr>
    </w:tbl>
    <w:p>
      <w:pPr>
        <w:spacing w:before="280" w:after="60"/>
      </w:pPr>
      <w:r>
        <w:rPr>
          <w:b/>
          <w:color w:val="1A1A18"/>
          <w:sz w:val="20"/>
        </w:rPr>
        <w:t>2. INGREDIENTS AND ALLERGENS</w:t>
      </w:r>
    </w:p>
    <w:tbl>
      <w:tblPr>
        <w:tblStyle w:val="TableGrid"/>
        <w:tblW w:type="auto" w:w="0"/>
        <w:tblLook w:firstColumn="1" w:firstRow="1" w:lastColumn="0" w:lastRow="0" w:noHBand="0" w:noVBand="1" w:val="04A0"/>
      </w:tblPr>
      <w:tblGrid>
        <w:gridCol w:w="3742"/>
        <w:gridCol w:w="5896"/>
      </w:tblGrid>
      <w:tr>
        <w:tc>
          <w:tcPr>
            <w:tcW w:type="dxa" w:w="3742"/>
            <w:shd w:val="clear" w:fill="F5F1EA"/>
          </w:tcPr>
          <w:p>
            <w:r/>
            <w:r>
              <w:rPr>
                <w:b/>
                <w:sz w:val="18"/>
              </w:rPr>
              <w:t>Ingredients</w:t>
            </w:r>
          </w:p>
        </w:tc>
        <w:tc>
          <w:tcPr>
            <w:tcW w:type="dxa" w:w="5896"/>
          </w:tcPr>
          <w:p>
            <w:r/>
            <w:r>
              <w:rPr>
                <w:i/>
                <w:color w:val="6B6B66"/>
                <w:sz w:val="15"/>
              </w:rPr>
              <w:t>all of them, in descending order by weight</w:t>
            </w:r>
          </w:p>
        </w:tc>
      </w:tr>
      <w:tr>
        <w:tc>
          <w:tcPr>
            <w:tcW w:type="dxa" w:w="3742"/>
            <w:shd w:val="clear" w:fill="F5F1EA"/>
          </w:tcPr>
          <w:p>
            <w:r/>
            <w:r>
              <w:rPr>
                <w:b/>
                <w:sz w:val="18"/>
              </w:rPr>
              <w:t>Allergens</w:t>
            </w:r>
          </w:p>
        </w:tc>
        <w:tc>
          <w:tcPr>
            <w:tcW w:type="dxa" w:w="5896"/>
          </w:tcPr>
          <w:p>
            <w:r/>
            <w:r>
              <w:rPr>
                <w:i/>
                <w:color w:val="6B6B66"/>
                <w:sz w:val="15"/>
              </w:rPr>
              <w:t>per Annex II, Reg. (EU) 1169/2011</w:t>
            </w:r>
          </w:p>
        </w:tc>
      </w:tr>
      <w:tr>
        <w:tc>
          <w:tcPr>
            <w:tcW w:type="dxa" w:w="3742"/>
            <w:shd w:val="clear" w:fill="F5F1EA"/>
          </w:tcPr>
          <w:p>
            <w:r/>
            <w:r>
              <w:rPr>
                <w:b/>
                <w:sz w:val="18"/>
              </w:rPr>
              <w:t>May contain</w:t>
            </w:r>
          </w:p>
        </w:tc>
        <w:tc>
          <w:tcPr>
            <w:tcW w:type="dxa" w:w="5896"/>
          </w:tcPr>
          <w:p>
            <w:r/>
            <w:r>
              <w:rPr>
                <w:i/>
                <w:color w:val="6B6B66"/>
                <w:sz w:val="15"/>
              </w:rPr>
              <w:t>cross-contamination, if any</w:t>
            </w:r>
          </w:p>
        </w:tc>
      </w:tr>
      <w:tr>
        <w:tc>
          <w:tcPr>
            <w:tcW w:type="dxa" w:w="3742"/>
            <w:shd w:val="clear" w:fill="F5F1EA"/>
          </w:tcPr>
          <w:p>
            <w:r/>
            <w:r>
              <w:rPr>
                <w:b/>
                <w:sz w:val="18"/>
              </w:rPr>
              <w:t>GMO status</w:t>
            </w:r>
          </w:p>
        </w:tc>
        <w:tc>
          <w:tcPr>
            <w:tcW w:type="dxa" w:w="5896"/>
          </w:tcPr>
          <w:p>
            <w:r>
              <w:t xml:space="preserve"> </w:t>
            </w:r>
          </w:p>
        </w:tc>
      </w:tr>
    </w:tbl>
    <w:p>
      <w:pPr>
        <w:spacing w:before="280" w:after="60"/>
      </w:pPr>
      <w:r>
        <w:rPr>
          <w:b/>
          <w:color w:val="1A1A18"/>
          <w:sz w:val="20"/>
        </w:rPr>
        <w:t>3. NUTRITION (per 100 g / 100 ml)</w:t>
      </w:r>
    </w:p>
    <w:tbl>
      <w:tblPr>
        <w:tblStyle w:val="TableGrid"/>
        <w:tblW w:type="auto" w:w="0"/>
        <w:tblLook w:firstColumn="1" w:firstRow="1" w:lastColumn="0" w:lastRow="0" w:noHBand="0" w:noVBand="1" w:val="04A0"/>
      </w:tblPr>
      <w:tblGrid>
        <w:gridCol w:w="3742"/>
        <w:gridCol w:w="5896"/>
      </w:tblGrid>
      <w:tr>
        <w:tc>
          <w:tcPr>
            <w:tcW w:type="dxa" w:w="3742"/>
            <w:shd w:val="clear" w:fill="F5F1EA"/>
          </w:tcPr>
          <w:p>
            <w:r/>
            <w:r>
              <w:rPr>
                <w:b/>
                <w:sz w:val="18"/>
              </w:rPr>
              <w:t>Energy</w:t>
            </w:r>
          </w:p>
        </w:tc>
        <w:tc>
          <w:tcPr>
            <w:tcW w:type="dxa" w:w="5896"/>
          </w:tcPr>
          <w:p>
            <w:r/>
            <w:r>
              <w:rPr>
                <w:i/>
                <w:color w:val="6B6B66"/>
                <w:sz w:val="15"/>
              </w:rPr>
              <w:t>kJ / kcal</w:t>
            </w:r>
          </w:p>
        </w:tc>
      </w:tr>
      <w:tr>
        <w:tc>
          <w:tcPr>
            <w:tcW w:type="dxa" w:w="3742"/>
            <w:shd w:val="clear" w:fill="F5F1EA"/>
          </w:tcPr>
          <w:p>
            <w:r/>
            <w:r>
              <w:rPr>
                <w:b/>
                <w:sz w:val="18"/>
              </w:rPr>
              <w:t>Fat</w:t>
            </w:r>
          </w:p>
        </w:tc>
        <w:tc>
          <w:tcPr>
            <w:tcW w:type="dxa" w:w="5896"/>
          </w:tcPr>
          <w:p>
            <w:r/>
            <w:r>
              <w:rPr>
                <w:i/>
                <w:color w:val="6B6B66"/>
                <w:sz w:val="15"/>
              </w:rPr>
              <w:t>g</w:t>
            </w:r>
          </w:p>
        </w:tc>
      </w:tr>
      <w:tr>
        <w:tc>
          <w:tcPr>
            <w:tcW w:type="dxa" w:w="3742"/>
            <w:shd w:val="clear" w:fill="F5F1EA"/>
          </w:tcPr>
          <w:p>
            <w:r/>
            <w:r>
              <w:rPr>
                <w:b/>
                <w:sz w:val="18"/>
              </w:rPr>
              <w:t>of which saturates</w:t>
            </w:r>
          </w:p>
        </w:tc>
        <w:tc>
          <w:tcPr>
            <w:tcW w:type="dxa" w:w="5896"/>
          </w:tcPr>
          <w:p>
            <w:r/>
            <w:r>
              <w:rPr>
                <w:i/>
                <w:color w:val="6B6B66"/>
                <w:sz w:val="15"/>
              </w:rPr>
              <w:t>g</w:t>
            </w:r>
          </w:p>
        </w:tc>
      </w:tr>
      <w:tr>
        <w:tc>
          <w:tcPr>
            <w:tcW w:type="dxa" w:w="3742"/>
            <w:shd w:val="clear" w:fill="F5F1EA"/>
          </w:tcPr>
          <w:p>
            <w:r/>
            <w:r>
              <w:rPr>
                <w:b/>
                <w:sz w:val="18"/>
              </w:rPr>
              <w:t>Carbohydrate</w:t>
            </w:r>
          </w:p>
        </w:tc>
        <w:tc>
          <w:tcPr>
            <w:tcW w:type="dxa" w:w="5896"/>
          </w:tcPr>
          <w:p>
            <w:r/>
            <w:r>
              <w:rPr>
                <w:i/>
                <w:color w:val="6B6B66"/>
                <w:sz w:val="15"/>
              </w:rPr>
              <w:t>g</w:t>
            </w:r>
          </w:p>
        </w:tc>
      </w:tr>
      <w:tr>
        <w:tc>
          <w:tcPr>
            <w:tcW w:type="dxa" w:w="3742"/>
            <w:shd w:val="clear" w:fill="F5F1EA"/>
          </w:tcPr>
          <w:p>
            <w:r/>
            <w:r>
              <w:rPr>
                <w:b/>
                <w:sz w:val="18"/>
              </w:rPr>
              <w:t>of which sugars</w:t>
            </w:r>
          </w:p>
        </w:tc>
        <w:tc>
          <w:tcPr>
            <w:tcW w:type="dxa" w:w="5896"/>
          </w:tcPr>
          <w:p>
            <w:r/>
            <w:r>
              <w:rPr>
                <w:i/>
                <w:color w:val="6B6B66"/>
                <w:sz w:val="15"/>
              </w:rPr>
              <w:t>g</w:t>
            </w:r>
          </w:p>
        </w:tc>
      </w:tr>
      <w:tr>
        <w:tc>
          <w:tcPr>
            <w:tcW w:type="dxa" w:w="3742"/>
            <w:shd w:val="clear" w:fill="F5F1EA"/>
          </w:tcPr>
          <w:p>
            <w:r/>
            <w:r>
              <w:rPr>
                <w:b/>
                <w:sz w:val="18"/>
              </w:rPr>
              <w:t>Protein</w:t>
            </w:r>
          </w:p>
        </w:tc>
        <w:tc>
          <w:tcPr>
            <w:tcW w:type="dxa" w:w="5896"/>
          </w:tcPr>
          <w:p>
            <w:r/>
            <w:r>
              <w:rPr>
                <w:i/>
                <w:color w:val="6B6B66"/>
                <w:sz w:val="15"/>
              </w:rPr>
              <w:t>g</w:t>
            </w:r>
          </w:p>
        </w:tc>
      </w:tr>
      <w:tr>
        <w:tc>
          <w:tcPr>
            <w:tcW w:type="dxa" w:w="3742"/>
            <w:shd w:val="clear" w:fill="F5F1EA"/>
          </w:tcPr>
          <w:p>
            <w:r/>
            <w:r>
              <w:rPr>
                <w:b/>
                <w:sz w:val="18"/>
              </w:rPr>
              <w:t>Salt</w:t>
            </w:r>
          </w:p>
        </w:tc>
        <w:tc>
          <w:tcPr>
            <w:tcW w:type="dxa" w:w="5896"/>
          </w:tcPr>
          <w:p>
            <w:r/>
            <w:r>
              <w:rPr>
                <w:i/>
                <w:color w:val="6B6B66"/>
                <w:sz w:val="15"/>
              </w:rPr>
              <w:t>g</w:t>
            </w:r>
          </w:p>
        </w:tc>
      </w:tr>
    </w:tbl>
    <w:p>
      <w:pPr>
        <w:spacing w:before="280" w:after="60"/>
      </w:pPr>
      <w:r>
        <w:rPr>
          <w:b/>
          <w:color w:val="1A1A18"/>
          <w:sz w:val="20"/>
        </w:rPr>
        <w:t>4. SHELF LIFE AND STORAGE</w:t>
      </w:r>
    </w:p>
    <w:tbl>
      <w:tblPr>
        <w:tblStyle w:val="TableGrid"/>
        <w:tblW w:type="auto" w:w="0"/>
        <w:tblLook w:firstColumn="1" w:firstRow="1" w:lastColumn="0" w:lastRow="0" w:noHBand="0" w:noVBand="1" w:val="04A0"/>
      </w:tblPr>
      <w:tblGrid>
        <w:gridCol w:w="3742"/>
        <w:gridCol w:w="5896"/>
      </w:tblGrid>
      <w:tr>
        <w:tc>
          <w:tcPr>
            <w:tcW w:type="dxa" w:w="3742"/>
            <w:shd w:val="clear" w:fill="F5F1EA"/>
          </w:tcPr>
          <w:p>
            <w:r/>
            <w:r>
              <w:rPr>
                <w:b/>
                <w:sz w:val="18"/>
              </w:rPr>
              <w:t>Total shelf life</w:t>
            </w:r>
          </w:p>
        </w:tc>
        <w:tc>
          <w:tcPr>
            <w:tcW w:type="dxa" w:w="5896"/>
          </w:tcPr>
          <w:p>
            <w:r/>
            <w:r>
              <w:rPr>
                <w:i/>
                <w:color w:val="6B6B66"/>
                <w:sz w:val="15"/>
              </w:rPr>
              <w:t>months</w:t>
            </w:r>
          </w:p>
        </w:tc>
      </w:tr>
      <w:tr>
        <w:tc>
          <w:tcPr>
            <w:tcW w:type="dxa" w:w="3742"/>
            <w:shd w:val="clear" w:fill="F5F1EA"/>
          </w:tcPr>
          <w:p>
            <w:r/>
            <w:r>
              <w:rPr>
                <w:b/>
                <w:sz w:val="18"/>
              </w:rPr>
              <w:t>Minimum residual life guaranteed on despatch</w:t>
            </w:r>
          </w:p>
        </w:tc>
        <w:tc>
          <w:tcPr>
            <w:tcW w:type="dxa" w:w="5896"/>
          </w:tcPr>
          <w:p>
            <w:r/>
            <w:r>
              <w:rPr>
                <w:i/>
                <w:color w:val="6B6B66"/>
                <w:sz w:val="15"/>
              </w:rPr>
              <w:t>months</w:t>
            </w:r>
          </w:p>
        </w:tc>
      </w:tr>
      <w:tr>
        <w:tc>
          <w:tcPr>
            <w:tcW w:type="dxa" w:w="3742"/>
            <w:shd w:val="clear" w:fill="F5F1EA"/>
          </w:tcPr>
          <w:p>
            <w:r/>
            <w:r>
              <w:rPr>
                <w:b/>
                <w:sz w:val="18"/>
              </w:rPr>
              <w:t>Storage conditions</w:t>
            </w:r>
          </w:p>
        </w:tc>
        <w:tc>
          <w:tcPr>
            <w:tcW w:type="dxa" w:w="5896"/>
          </w:tcPr>
          <w:p>
            <w:r>
              <w:t xml:space="preserve"> </w:t>
            </w:r>
          </w:p>
        </w:tc>
      </w:tr>
      <w:tr>
        <w:tc>
          <w:tcPr>
            <w:tcW w:type="dxa" w:w="3742"/>
            <w:shd w:val="clear" w:fill="F5F1EA"/>
          </w:tcPr>
          <w:p>
            <w:r/>
            <w:r>
              <w:rPr>
                <w:b/>
                <w:sz w:val="18"/>
              </w:rPr>
              <w:t>Transport conditions</w:t>
            </w:r>
          </w:p>
        </w:tc>
        <w:tc>
          <w:tcPr>
            <w:tcW w:type="dxa" w:w="5896"/>
          </w:tcPr>
          <w:p>
            <w:r>
              <w:t xml:space="preserve"> </w:t>
            </w:r>
          </w:p>
        </w:tc>
      </w:tr>
    </w:tbl>
    <w:p>
      <w:pPr>
        <w:spacing w:before="280" w:after="60"/>
      </w:pPr>
      <w:r>
        <w:rPr>
          <w:b/>
          <w:color w:val="1A1A18"/>
          <w:sz w:val="20"/>
        </w:rPr>
        <w:t>5. LOGISTICS</w:t>
      </w:r>
    </w:p>
    <w:tbl>
      <w:tblPr>
        <w:tblStyle w:val="TableGrid"/>
        <w:tblW w:type="auto" w:w="0"/>
        <w:tblLook w:firstColumn="1" w:firstRow="1" w:lastColumn="0" w:lastRow="0" w:noHBand="0" w:noVBand="1" w:val="04A0"/>
      </w:tblPr>
      <w:tblGrid>
        <w:gridCol w:w="3742"/>
        <w:gridCol w:w="5896"/>
      </w:tblGrid>
      <w:tr>
        <w:tc>
          <w:tcPr>
            <w:tcW w:type="dxa" w:w="3742"/>
            <w:shd w:val="clear" w:fill="F5F1EA"/>
          </w:tcPr>
          <w:p>
            <w:r/>
            <w:r>
              <w:rPr>
                <w:b/>
                <w:sz w:val="18"/>
              </w:rPr>
              <w:t>Case dimensions</w:t>
            </w:r>
          </w:p>
        </w:tc>
        <w:tc>
          <w:tcPr>
            <w:tcW w:type="dxa" w:w="5896"/>
          </w:tcPr>
          <w:p>
            <w:r/>
            <w:r>
              <w:rPr>
                <w:i/>
                <w:color w:val="6B6B66"/>
                <w:sz w:val="15"/>
              </w:rPr>
              <w:t>L x W x H cm</w:t>
            </w:r>
          </w:p>
        </w:tc>
      </w:tr>
      <w:tr>
        <w:tc>
          <w:tcPr>
            <w:tcW w:type="dxa" w:w="3742"/>
            <w:shd w:val="clear" w:fill="F5F1EA"/>
          </w:tcPr>
          <w:p>
            <w:r/>
            <w:r>
              <w:rPr>
                <w:b/>
                <w:sz w:val="18"/>
              </w:rPr>
              <w:t>Case gross weight</w:t>
            </w:r>
          </w:p>
        </w:tc>
        <w:tc>
          <w:tcPr>
            <w:tcW w:type="dxa" w:w="5896"/>
          </w:tcPr>
          <w:p>
            <w:r/>
            <w:r>
              <w:rPr>
                <w:i/>
                <w:color w:val="6B6B66"/>
                <w:sz w:val="15"/>
              </w:rPr>
              <w:t>kg</w:t>
            </w:r>
          </w:p>
        </w:tc>
      </w:tr>
      <w:tr>
        <w:tc>
          <w:tcPr>
            <w:tcW w:type="dxa" w:w="3742"/>
            <w:shd w:val="clear" w:fill="F5F1EA"/>
          </w:tcPr>
          <w:p>
            <w:r/>
            <w:r>
              <w:rPr>
                <w:b/>
                <w:sz w:val="18"/>
              </w:rPr>
              <w:t>Cases per layer</w:t>
            </w:r>
          </w:p>
        </w:tc>
        <w:tc>
          <w:tcPr>
            <w:tcW w:type="dxa" w:w="5896"/>
          </w:tcPr>
          <w:p>
            <w:r>
              <w:t xml:space="preserve"> </w:t>
            </w:r>
          </w:p>
        </w:tc>
      </w:tr>
      <w:tr>
        <w:tc>
          <w:tcPr>
            <w:tcW w:type="dxa" w:w="3742"/>
            <w:shd w:val="clear" w:fill="F5F1EA"/>
          </w:tcPr>
          <w:p>
            <w:r/>
            <w:r>
              <w:rPr>
                <w:b/>
                <w:sz w:val="18"/>
              </w:rPr>
              <w:t>Layers per pallet</w:t>
            </w:r>
          </w:p>
        </w:tc>
        <w:tc>
          <w:tcPr>
            <w:tcW w:type="dxa" w:w="5896"/>
          </w:tcPr>
          <w:p>
            <w:r>
              <w:t xml:space="preserve"> </w:t>
            </w:r>
          </w:p>
        </w:tc>
      </w:tr>
      <w:tr>
        <w:tc>
          <w:tcPr>
            <w:tcW w:type="dxa" w:w="3742"/>
            <w:shd w:val="clear" w:fill="F5F1EA"/>
          </w:tcPr>
          <w:p>
            <w:r/>
            <w:r>
              <w:rPr>
                <w:b/>
                <w:sz w:val="18"/>
              </w:rPr>
              <w:t>Cases per pallet</w:t>
            </w:r>
          </w:p>
        </w:tc>
        <w:tc>
          <w:tcPr>
            <w:tcW w:type="dxa" w:w="5896"/>
          </w:tcPr>
          <w:p>
            <w:r>
              <w:t xml:space="preserve"> </w:t>
            </w:r>
          </w:p>
        </w:tc>
      </w:tr>
      <w:tr>
        <w:tc>
          <w:tcPr>
            <w:tcW w:type="dxa" w:w="3742"/>
            <w:shd w:val="clear" w:fill="F5F1EA"/>
          </w:tcPr>
          <w:p>
            <w:r/>
            <w:r>
              <w:rPr>
                <w:b/>
                <w:sz w:val="18"/>
              </w:rPr>
              <w:t>Pallet type</w:t>
            </w:r>
          </w:p>
        </w:tc>
        <w:tc>
          <w:tcPr>
            <w:tcW w:type="dxa" w:w="5896"/>
          </w:tcPr>
          <w:p>
            <w:r/>
            <w:r>
              <w:rPr>
                <w:i/>
                <w:color w:val="6B6B66"/>
                <w:sz w:val="15"/>
              </w:rPr>
              <w:t>EUR / other</w:t>
            </w:r>
          </w:p>
        </w:tc>
      </w:tr>
      <w:tr>
        <w:tc>
          <w:tcPr>
            <w:tcW w:type="dxa" w:w="3742"/>
            <w:shd w:val="clear" w:fill="F5F1EA"/>
          </w:tcPr>
          <w:p>
            <w:r/>
            <w:r>
              <w:rPr>
                <w:b/>
                <w:sz w:val="18"/>
              </w:rPr>
              <w:t>Pallet height</w:t>
            </w:r>
          </w:p>
        </w:tc>
        <w:tc>
          <w:tcPr>
            <w:tcW w:type="dxa" w:w="5896"/>
          </w:tcPr>
          <w:p>
            <w:r/>
            <w:r>
              <w:rPr>
                <w:i/>
                <w:color w:val="6B6B66"/>
                <w:sz w:val="15"/>
              </w:rPr>
              <w:t>cm</w:t>
            </w:r>
          </w:p>
        </w:tc>
      </w:tr>
      <w:tr>
        <w:tc>
          <w:tcPr>
            <w:tcW w:type="dxa" w:w="3742"/>
            <w:shd w:val="clear" w:fill="F5F1EA"/>
          </w:tcPr>
          <w:p>
            <w:r/>
            <w:r>
              <w:rPr>
                <w:b/>
                <w:sz w:val="18"/>
              </w:rPr>
              <w:t>Full pallet gross weight</w:t>
            </w:r>
          </w:p>
        </w:tc>
        <w:tc>
          <w:tcPr>
            <w:tcW w:type="dxa" w:w="5896"/>
          </w:tcPr>
          <w:p>
            <w:r/>
            <w:r>
              <w:rPr>
                <w:i/>
                <w:color w:val="6B6B66"/>
                <w:sz w:val="15"/>
              </w:rPr>
              <w:t>kg</w:t>
            </w:r>
          </w:p>
        </w:tc>
      </w:tr>
    </w:tbl>
    <w:p>
      <w:pPr>
        <w:spacing w:before="280" w:after="60"/>
      </w:pPr>
      <w:r>
        <w:rPr>
          <w:b/>
          <w:color w:val="1A1A18"/>
          <w:sz w:val="20"/>
        </w:rPr>
        <w:t>6. PRODUCER</w:t>
      </w:r>
    </w:p>
    <w:tbl>
      <w:tblPr>
        <w:tblStyle w:val="TableGrid"/>
        <w:tblW w:type="auto" w:w="0"/>
        <w:tblLook w:firstColumn="1" w:firstRow="1" w:lastColumn="0" w:lastRow="0" w:noHBand="0" w:noVBand="1" w:val="04A0"/>
      </w:tblPr>
      <w:tblGrid>
        <w:gridCol w:w="3742"/>
        <w:gridCol w:w="5896"/>
      </w:tblGrid>
      <w:tr>
        <w:tc>
          <w:tcPr>
            <w:tcW w:type="dxa" w:w="3742"/>
            <w:shd w:val="clear" w:fill="F5F1EA"/>
          </w:tcPr>
          <w:p>
            <w:r/>
            <w:r>
              <w:rPr>
                <w:b/>
                <w:sz w:val="18"/>
              </w:rPr>
              <w:t>Company</w:t>
            </w:r>
          </w:p>
        </w:tc>
        <w:tc>
          <w:tcPr>
            <w:tcW w:type="dxa" w:w="5896"/>
          </w:tcPr>
          <w:p>
            <w:r>
              <w:t xml:space="preserve"> </w:t>
            </w:r>
          </w:p>
        </w:tc>
      </w:tr>
      <w:tr>
        <w:tc>
          <w:tcPr>
            <w:tcW w:type="dxa" w:w="3742"/>
            <w:shd w:val="clear" w:fill="F5F1EA"/>
          </w:tcPr>
          <w:p>
            <w:r/>
            <w:r>
              <w:rPr>
                <w:b/>
                <w:sz w:val="18"/>
              </w:rPr>
              <w:t>Production site</w:t>
            </w:r>
          </w:p>
        </w:tc>
        <w:tc>
          <w:tcPr>
            <w:tcW w:type="dxa" w:w="5896"/>
          </w:tcPr>
          <w:p>
            <w:r/>
            <w:r>
              <w:rPr>
                <w:i/>
                <w:color w:val="6B6B66"/>
                <w:sz w:val="15"/>
              </w:rPr>
              <w:t>address and approval number</w:t>
            </w:r>
          </w:p>
        </w:tc>
      </w:tr>
      <w:tr>
        <w:tc>
          <w:tcPr>
            <w:tcW w:type="dxa" w:w="3742"/>
            <w:shd w:val="clear" w:fill="F5F1EA"/>
          </w:tcPr>
          <w:p>
            <w:r/>
            <w:r>
              <w:rPr>
                <w:b/>
                <w:sz w:val="18"/>
              </w:rPr>
              <w:t>Certifications</w:t>
            </w:r>
          </w:p>
        </w:tc>
        <w:tc>
          <w:tcPr>
            <w:tcW w:type="dxa" w:w="5896"/>
          </w:tcPr>
          <w:p>
            <w:r/>
            <w:r>
              <w:rPr>
                <w:i/>
                <w:color w:val="6B6B66"/>
                <w:sz w:val="15"/>
              </w:rPr>
              <w:t>body and number</w:t>
            </w:r>
          </w:p>
        </w:tc>
      </w:tr>
      <w:tr>
        <w:tc>
          <w:tcPr>
            <w:tcW w:type="dxa" w:w="3742"/>
            <w:shd w:val="clear" w:fill="F5F1EA"/>
          </w:tcPr>
          <w:p>
            <w:r/>
            <w:r>
              <w:rPr>
                <w:b/>
                <w:sz w:val="18"/>
              </w:rPr>
              <w:t>Contact person and e-mail</w:t>
            </w:r>
          </w:p>
        </w:tc>
        <w:tc>
          <w:tcPr>
            <w:tcW w:type="dxa" w:w="5896"/>
          </w:tcPr>
          <w:p>
            <w:r>
              <w:t xml:space="preserve"> </w:t>
            </w:r>
          </w:p>
        </w:tc>
      </w:tr>
    </w:tbl>
    <w:p>
      <w:pPr>
        <w:spacing w:before="240"/>
      </w:pPr>
      <w:r>
        <w:rPr>
          <w:color w:val="6B6B66"/>
          <w:sz w:val="16"/>
        </w:rPr>
        <w:t>The last-updated line matters more than it looks: it is what lets you and the buyer know you are looking at the same document. Fill in the logistics block even when it seems obvious, because it is the only one the buyer cannot work out alone.</w:t>
      </w:r>
    </w:p>
    <w:p>
      <w:pPr>
        <w:spacing w:before="120"/>
      </w:pPr>
      <w:r>
        <w:rPr>
          <w:color w:val="6B6B66"/>
          <w:sz w:val="15"/>
        </w:rPr>
        <w:t>Free template. How to fill it in, field by field: itria.io/scheda-tecnica-prodotto-alimentare-inglese</w:t>
      </w:r>
    </w:p>
    <w:sectPr w:rsidR="00FC693F" w:rsidRPr="0006063C" w:rsidSect="00034616">
      <w:pgSz w:w="12240" w:h="15840"/>
      <w:pgMar w:top="1020" w:right="1134" w:bottom="90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